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amsv0828w4ov" w:id="0"/>
      <w:bookmarkEnd w:id="0"/>
      <w:r w:rsidDel="00000000" w:rsidR="00000000" w:rsidRPr="00000000">
        <w:rPr>
          <w:rtl w:val="0"/>
        </w:rPr>
      </w:r>
    </w:p>
    <w:p w:rsidR="00000000" w:rsidDel="00000000" w:rsidP="00000000" w:rsidRDefault="00000000" w:rsidRPr="00000000" w14:paraId="00000002">
      <w:pPr>
        <w:keepNext w:val="0"/>
        <w:keepLines w:val="0"/>
        <w:shd w:fill="ffffff" w:val="clear"/>
        <w:spacing w:after="160" w:before="300" w:line="276"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RINNOVATO IL CONSIGLIO DI AMMINISTRAZIONE NEL SEGNO DELLA CONTINUITÀ E DELLO SVILUPPO STRATEGICO. APPROVATO ALL’UNANIMITA’ IL BILANCIO DI ESERCIZIO AL 31 DICEMBRE 2024</w:t>
      </w:r>
    </w:p>
    <w:p w:rsidR="00000000" w:rsidDel="00000000" w:rsidP="00000000" w:rsidRDefault="00000000" w:rsidRPr="00000000" w14:paraId="00000003">
      <w:pPr>
        <w:keepNext w:val="0"/>
        <w:keepLines w:val="0"/>
        <w:shd w:fill="ffffff" w:val="clear"/>
        <w:spacing w:after="160" w:before="3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Roberto Pellegrini confermato Presidente per il triennio 2025-2028. Il rinnovo avviene in una fase cruciale per la Società, impegnata in un piano di sviluppo che comprende riqualificazione del Quartiere Fieristico, nuovo Centro Congressi, innovazione dei format ed internazionalizzazione. Un’attività che genera un indotto annuo di circa 60 milioni di euro.</w:t>
      </w:r>
    </w:p>
    <w:p w:rsidR="00000000" w:rsidDel="00000000" w:rsidP="00000000" w:rsidRDefault="00000000" w:rsidRPr="00000000" w14:paraId="00000004">
      <w:pPr>
        <w:shd w:fill="ffffff" w:val="clear"/>
        <w:spacing w:after="240" w:before="240" w:line="276"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5">
      <w:pPr>
        <w:shd w:fill="ffffff" w:val="clea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Stabilità, continuità e visione strategica: sono questi i principi guida emersi dall’Assemblea degli Azionisti di Riva del Garda Fierecongressi, che si è riunita oggi al Centro Congressi per approvare il Bilancio di esercizio al 31 dicembre 2024 e nominare il nuovo Consiglio di Amministrazione e il Collegio Sindacale. L’Assemblea ha confermato </w:t>
      </w:r>
      <w:r w:rsidDel="00000000" w:rsidR="00000000" w:rsidRPr="00000000">
        <w:rPr>
          <w:rFonts w:ascii="Arial" w:cs="Arial" w:eastAsia="Arial" w:hAnsi="Arial"/>
          <w:b w:val="1"/>
          <w:sz w:val="24"/>
          <w:szCs w:val="24"/>
          <w:rtl w:val="0"/>
        </w:rPr>
        <w:t xml:space="preserve">Roberto Pellegrini</w:t>
      </w:r>
      <w:r w:rsidDel="00000000" w:rsidR="00000000" w:rsidRPr="00000000">
        <w:rPr>
          <w:rFonts w:ascii="Arial" w:cs="Arial" w:eastAsia="Arial" w:hAnsi="Arial"/>
          <w:sz w:val="24"/>
          <w:szCs w:val="24"/>
          <w:rtl w:val="0"/>
        </w:rPr>
        <w:t xml:space="preserve"> alla Presidenza della Società per il </w:t>
      </w:r>
      <w:r w:rsidDel="00000000" w:rsidR="00000000" w:rsidRPr="00000000">
        <w:rPr>
          <w:rFonts w:ascii="Arial" w:cs="Arial" w:eastAsia="Arial" w:hAnsi="Arial"/>
          <w:b w:val="1"/>
          <w:sz w:val="24"/>
          <w:szCs w:val="24"/>
          <w:rtl w:val="0"/>
        </w:rPr>
        <w:t xml:space="preserve">triennio 2025–2028</w:t>
      </w:r>
      <w:r w:rsidDel="00000000" w:rsidR="00000000" w:rsidRPr="00000000">
        <w:rPr>
          <w:rFonts w:ascii="Arial" w:cs="Arial" w:eastAsia="Arial" w:hAnsi="Arial"/>
          <w:sz w:val="24"/>
          <w:szCs w:val="24"/>
          <w:rtl w:val="0"/>
        </w:rPr>
        <w:t xml:space="preserve">, rinnovando la fiducia anche a</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sei </w:t>
      </w:r>
      <w:r w:rsidDel="00000000" w:rsidR="00000000" w:rsidRPr="00000000">
        <w:rPr>
          <w:rFonts w:ascii="Arial" w:cs="Arial" w:eastAsia="Arial" w:hAnsi="Arial"/>
          <w:sz w:val="24"/>
          <w:szCs w:val="24"/>
          <w:highlight w:val="white"/>
          <w:rtl w:val="0"/>
        </w:rPr>
        <w:t xml:space="preserve">dei </w:t>
      </w:r>
      <w:r w:rsidDel="00000000" w:rsidR="00000000" w:rsidRPr="00000000">
        <w:rPr>
          <w:rFonts w:ascii="Arial" w:cs="Arial" w:eastAsia="Arial" w:hAnsi="Arial"/>
          <w:sz w:val="24"/>
          <w:szCs w:val="24"/>
          <w:highlight w:val="white"/>
          <w:rtl w:val="0"/>
        </w:rPr>
        <w:t xml:space="preserve">sette </w:t>
      </w:r>
      <w:r w:rsidDel="00000000" w:rsidR="00000000" w:rsidRPr="00000000">
        <w:rPr>
          <w:rFonts w:ascii="Arial" w:cs="Arial" w:eastAsia="Arial" w:hAnsi="Arial"/>
          <w:sz w:val="24"/>
          <w:szCs w:val="24"/>
          <w:highlight w:val="white"/>
          <w:rtl w:val="0"/>
        </w:rPr>
        <w:t xml:space="preserve">consiglieri uscenti e </w:t>
      </w:r>
      <w:r w:rsidDel="00000000" w:rsidR="00000000" w:rsidRPr="00000000">
        <w:rPr>
          <w:rFonts w:ascii="Arial" w:cs="Arial" w:eastAsia="Arial" w:hAnsi="Arial"/>
          <w:sz w:val="24"/>
          <w:szCs w:val="24"/>
          <w:highlight w:val="white"/>
          <w:rtl w:val="0"/>
        </w:rPr>
        <w:t xml:space="preserve">a due dei tre membri effettivi del Collegio Sindacale</w:t>
      </w:r>
      <w:r w:rsidDel="00000000" w:rsidR="00000000" w:rsidRPr="00000000">
        <w:rPr>
          <w:rFonts w:ascii="Arial" w:cs="Arial" w:eastAsia="Arial" w:hAnsi="Arial"/>
          <w:sz w:val="24"/>
          <w:szCs w:val="24"/>
          <w:highlight w:val="white"/>
          <w:rtl w:val="0"/>
        </w:rPr>
        <w:t xml:space="preserve">. U</w:t>
      </w:r>
      <w:r w:rsidDel="00000000" w:rsidR="00000000" w:rsidRPr="00000000">
        <w:rPr>
          <w:rFonts w:ascii="Arial" w:cs="Arial" w:eastAsia="Arial" w:hAnsi="Arial"/>
          <w:sz w:val="24"/>
          <w:szCs w:val="24"/>
          <w:rtl w:val="0"/>
        </w:rPr>
        <w:t xml:space="preserve">na scelt</w:t>
      </w:r>
      <w:r w:rsidDel="00000000" w:rsidR="00000000" w:rsidRPr="00000000">
        <w:rPr>
          <w:rFonts w:ascii="Arial" w:cs="Arial" w:eastAsia="Arial" w:hAnsi="Arial"/>
          <w:sz w:val="24"/>
          <w:szCs w:val="24"/>
          <w:rtl w:val="0"/>
        </w:rPr>
        <w:t xml:space="preserve">a chiara, che rafforza la volontà condivisa di proseguire lungo il percorso di sviluppo già avviato, in una fase strategica per il futuro dell’ente. Il rinnovo degli organi sociali si inserisce infatti in un momento cruciale, segnato dall’attuazione di un piano di crescita che prevede importanti investimenti per la riqualificazione del Quartiere Fieristico in località Baltera, l’innovazione dei format fieristici e congressuali, e un deciso orientamento all’internazionalizzazione. Obiettivi che rafforzano la capacità competitiva della Società a livello nazionale e internazionale, valorizzando al contempo il territorio.</w:t>
      </w:r>
    </w:p>
    <w:p w:rsidR="00000000" w:rsidDel="00000000" w:rsidP="00000000" w:rsidRDefault="00000000" w:rsidRPr="00000000" w14:paraId="00000006">
      <w:pPr>
        <w:shd w:fill="ffffff" w:val="clea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nuovo Consiglio di Amministrazione per il triennio 2025-2028 risulta così composto: </w:t>
      </w:r>
      <w:r w:rsidDel="00000000" w:rsidR="00000000" w:rsidRPr="00000000">
        <w:rPr>
          <w:rFonts w:ascii="Arial" w:cs="Arial" w:eastAsia="Arial" w:hAnsi="Arial"/>
          <w:b w:val="1"/>
          <w:sz w:val="24"/>
          <w:szCs w:val="24"/>
          <w:rtl w:val="0"/>
        </w:rPr>
        <w:t xml:space="preserve">Roberto Pellegrini</w:t>
      </w:r>
      <w:r w:rsidDel="00000000" w:rsidR="00000000" w:rsidRPr="00000000">
        <w:rPr>
          <w:rFonts w:ascii="Arial" w:cs="Arial" w:eastAsia="Arial" w:hAnsi="Arial"/>
          <w:sz w:val="24"/>
          <w:szCs w:val="24"/>
          <w:rtl w:val="0"/>
        </w:rPr>
        <w:t xml:space="preserve"> (Presidente), </w:t>
      </w:r>
      <w:r w:rsidDel="00000000" w:rsidR="00000000" w:rsidRPr="00000000">
        <w:rPr>
          <w:rFonts w:ascii="Arial" w:cs="Arial" w:eastAsia="Arial" w:hAnsi="Arial"/>
          <w:b w:val="1"/>
          <w:sz w:val="24"/>
          <w:szCs w:val="24"/>
          <w:rtl w:val="0"/>
        </w:rPr>
        <w:t xml:space="preserve">Enzo Bassetti</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Alberto Bertolini</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Silvia Guella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Massimo Piffer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Graziano Rigotti </w:t>
      </w:r>
      <w:r w:rsidDel="00000000" w:rsidR="00000000" w:rsidRPr="00000000">
        <w:rPr>
          <w:rFonts w:ascii="Arial" w:cs="Arial" w:eastAsia="Arial" w:hAnsi="Arial"/>
          <w:sz w:val="24"/>
          <w:szCs w:val="24"/>
          <w:rtl w:val="0"/>
        </w:rPr>
        <w:t xml:space="preserve">e </w:t>
      </w:r>
      <w:r w:rsidDel="00000000" w:rsidR="00000000" w:rsidRPr="00000000">
        <w:rPr>
          <w:rFonts w:ascii="Arial" w:cs="Arial" w:eastAsia="Arial" w:hAnsi="Arial"/>
          <w:b w:val="1"/>
          <w:sz w:val="24"/>
          <w:szCs w:val="24"/>
          <w:rtl w:val="0"/>
        </w:rPr>
        <w:t xml:space="preserve">Claudia De Scolari Bonatti</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Il Collegio Sindacale è composto da: </w:t>
      </w:r>
      <w:r w:rsidDel="00000000" w:rsidR="00000000" w:rsidRPr="00000000">
        <w:rPr>
          <w:rFonts w:ascii="Arial" w:cs="Arial" w:eastAsia="Arial" w:hAnsi="Arial"/>
          <w:b w:val="1"/>
          <w:sz w:val="24"/>
          <w:szCs w:val="24"/>
          <w:rtl w:val="0"/>
        </w:rPr>
        <w:t xml:space="preserve">Michela Zambotti </w:t>
      </w:r>
      <w:r w:rsidDel="00000000" w:rsidR="00000000" w:rsidRPr="00000000">
        <w:rPr>
          <w:rFonts w:ascii="Arial" w:cs="Arial" w:eastAsia="Arial" w:hAnsi="Arial"/>
          <w:sz w:val="24"/>
          <w:szCs w:val="24"/>
          <w:rtl w:val="0"/>
        </w:rPr>
        <w:t xml:space="preserve">(Presidente), </w:t>
      </w:r>
      <w:r w:rsidDel="00000000" w:rsidR="00000000" w:rsidRPr="00000000">
        <w:rPr>
          <w:rFonts w:ascii="Arial" w:cs="Arial" w:eastAsia="Arial" w:hAnsi="Arial"/>
          <w:b w:val="1"/>
          <w:sz w:val="24"/>
          <w:szCs w:val="24"/>
          <w:rtl w:val="0"/>
        </w:rPr>
        <w:t xml:space="preserve">Mauro Cominotti</w:t>
      </w:r>
      <w:r w:rsidDel="00000000" w:rsidR="00000000" w:rsidRPr="00000000">
        <w:rPr>
          <w:rFonts w:ascii="Arial" w:cs="Arial" w:eastAsia="Arial" w:hAnsi="Arial"/>
          <w:sz w:val="24"/>
          <w:szCs w:val="24"/>
          <w:rtl w:val="0"/>
        </w:rPr>
        <w:t xml:space="preserve"> e </w:t>
      </w:r>
      <w:r w:rsidDel="00000000" w:rsidR="00000000" w:rsidRPr="00000000">
        <w:rPr>
          <w:rFonts w:ascii="Arial" w:cs="Arial" w:eastAsia="Arial" w:hAnsi="Arial"/>
          <w:b w:val="1"/>
          <w:sz w:val="24"/>
          <w:szCs w:val="24"/>
          <w:rtl w:val="0"/>
        </w:rPr>
        <w:t xml:space="preserve">Raffaella Prezzi</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7">
      <w:pPr>
        <w:shd w:fill="ffffff" w:val="clea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“Ringrazio l’Assemblea dei Soci per la fiducia rinnovata – ha dichiarato </w:t>
      </w:r>
      <w:r w:rsidDel="00000000" w:rsidR="00000000" w:rsidRPr="00000000">
        <w:rPr>
          <w:rFonts w:ascii="Arial" w:cs="Arial" w:eastAsia="Arial" w:hAnsi="Arial"/>
          <w:b w:val="1"/>
          <w:sz w:val="24"/>
          <w:szCs w:val="24"/>
          <w:rtl w:val="0"/>
        </w:rPr>
        <w:t xml:space="preserve">Roberto Pellegrini</w:t>
      </w:r>
      <w:r w:rsidDel="00000000" w:rsidR="00000000" w:rsidRPr="00000000">
        <w:rPr>
          <w:rFonts w:ascii="Arial" w:cs="Arial" w:eastAsia="Arial" w:hAnsi="Arial"/>
          <w:sz w:val="24"/>
          <w:szCs w:val="24"/>
          <w:rtl w:val="0"/>
        </w:rPr>
        <w:t xml:space="preserve">, al suo settimo mandato da Presidente – in una fase delicata e al tempo stesso ricca di opportunità, caratterizzata da progetti strategici quali l’ampliamento del Quartiere Fieristico e la realizzazione del nuovo Centro Congressi, garantire continuità alla governance è una scelta determinante. Ci consente di agire con efficacia e tempestività, mantenendo il focus sul nostro obiettivo primario: generare valore e indotto per il territorio”.</w:t>
      </w:r>
    </w:p>
    <w:p w:rsidR="00000000" w:rsidDel="00000000" w:rsidP="00000000" w:rsidRDefault="00000000" w:rsidRPr="00000000" w14:paraId="00000008">
      <w:pPr>
        <w:shd w:fill="ffffff" w:val="clea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indotto che si attesta attorno ai </w:t>
      </w:r>
      <w:r w:rsidDel="00000000" w:rsidR="00000000" w:rsidRPr="00000000">
        <w:rPr>
          <w:rFonts w:ascii="Arial" w:cs="Arial" w:eastAsia="Arial" w:hAnsi="Arial"/>
          <w:b w:val="1"/>
          <w:sz w:val="24"/>
          <w:szCs w:val="24"/>
          <w:rtl w:val="0"/>
        </w:rPr>
        <w:t xml:space="preserve">60 milioni di euro</w:t>
      </w:r>
      <w:r w:rsidDel="00000000" w:rsidR="00000000" w:rsidRPr="00000000">
        <w:rPr>
          <w:rFonts w:ascii="Arial" w:cs="Arial" w:eastAsia="Arial" w:hAnsi="Arial"/>
          <w:sz w:val="24"/>
          <w:szCs w:val="24"/>
          <w:rtl w:val="0"/>
        </w:rPr>
        <w:t xml:space="preserve">, frutto di un’attività in costante crescita e sempre più integrata con il tessuto economico e produttivo locale. “Il rafforzamento della governance, unito a una visione condivisa tra management e azionisti – ha aggiunto </w:t>
      </w:r>
      <w:r w:rsidDel="00000000" w:rsidR="00000000" w:rsidRPr="00000000">
        <w:rPr>
          <w:rFonts w:ascii="Arial" w:cs="Arial" w:eastAsia="Arial" w:hAnsi="Arial"/>
          <w:b w:val="1"/>
          <w:sz w:val="24"/>
          <w:szCs w:val="24"/>
          <w:rtl w:val="0"/>
        </w:rPr>
        <w:t xml:space="preserve">Pellegrini </w:t>
      </w:r>
      <w:r w:rsidDel="00000000" w:rsidR="00000000" w:rsidRPr="00000000">
        <w:rPr>
          <w:rFonts w:ascii="Arial" w:cs="Arial" w:eastAsia="Arial" w:hAnsi="Arial"/>
          <w:sz w:val="24"/>
          <w:szCs w:val="24"/>
          <w:rtl w:val="0"/>
        </w:rPr>
        <w:t xml:space="preserve">– garantisce un presidio dinamico su tutte le leve strategiche necessarie per assicurare uno sviluppo sostenibile e duraturo dell’organizzazione”.</w:t>
      </w:r>
    </w:p>
    <w:p w:rsidR="00000000" w:rsidDel="00000000" w:rsidP="00000000" w:rsidRDefault="00000000" w:rsidRPr="00000000" w14:paraId="00000009">
      <w:pPr>
        <w:pageBreakBefore w:val="0"/>
        <w:rPr>
          <w:rFonts w:ascii="Arial" w:cs="Arial" w:eastAsia="Arial" w:hAnsi="Arial"/>
          <w:sz w:val="24"/>
          <w:szCs w:val="24"/>
        </w:rPr>
      </w:pPr>
      <w:bookmarkStart w:colFirst="0" w:colLast="0" w:name="_r2mbb1m3gq3i" w:id="1"/>
      <w:bookmarkEnd w:id="1"/>
      <w:r w:rsidDel="00000000" w:rsidR="00000000" w:rsidRPr="00000000">
        <w:rPr>
          <w:rtl w:val="0"/>
        </w:rPr>
      </w:r>
    </w:p>
    <w:p w:rsidR="00000000" w:rsidDel="00000000" w:rsidP="00000000" w:rsidRDefault="00000000" w:rsidRPr="00000000" w14:paraId="0000000A">
      <w:pPr>
        <w:pageBreakBefore w:val="0"/>
        <w:rPr>
          <w:rFonts w:ascii="Arial" w:cs="Arial" w:eastAsia="Arial" w:hAnsi="Arial"/>
          <w:sz w:val="24"/>
          <w:szCs w:val="24"/>
        </w:rPr>
      </w:pPr>
      <w:bookmarkStart w:colFirst="0" w:colLast="0" w:name="_q8y18m1416wx" w:id="2"/>
      <w:bookmarkEnd w:id="2"/>
      <w:r w:rsidDel="00000000" w:rsidR="00000000" w:rsidRPr="00000000">
        <w:rPr>
          <w:rFonts w:ascii="Arial" w:cs="Arial" w:eastAsia="Arial" w:hAnsi="Arial"/>
          <w:b w:val="1"/>
          <w:sz w:val="24"/>
          <w:szCs w:val="24"/>
          <w:rtl w:val="0"/>
        </w:rPr>
        <w:t xml:space="preserve">BILANCIO DI ESERCIZIO 2024</w:t>
      </w:r>
      <w:r w:rsidDel="00000000" w:rsidR="00000000" w:rsidRPr="00000000">
        <w:rPr>
          <w:rtl w:val="0"/>
        </w:rPr>
      </w:r>
    </w:p>
    <w:p w:rsidR="00000000" w:rsidDel="00000000" w:rsidP="00000000" w:rsidRDefault="00000000" w:rsidRPr="00000000" w14:paraId="0000000B">
      <w:pPr>
        <w:jc w:val="both"/>
        <w:rPr>
          <w:rFonts w:ascii="Arial" w:cs="Arial" w:eastAsia="Arial" w:hAnsi="Arial"/>
          <w:sz w:val="24"/>
          <w:szCs w:val="24"/>
        </w:rPr>
      </w:pPr>
      <w:bookmarkStart w:colFirst="0" w:colLast="0" w:name="_j28f6955it4k" w:id="3"/>
      <w:bookmarkEnd w:id="3"/>
      <w:r w:rsidDel="00000000" w:rsidR="00000000" w:rsidRPr="00000000">
        <w:rPr>
          <w:rFonts w:ascii="Arial" w:cs="Arial" w:eastAsia="Arial" w:hAnsi="Arial"/>
          <w:sz w:val="24"/>
          <w:szCs w:val="24"/>
          <w:rtl w:val="0"/>
        </w:rPr>
        <w:t xml:space="preserve">Le Assemblee dei Soci di </w:t>
      </w:r>
      <w:r w:rsidDel="00000000" w:rsidR="00000000" w:rsidRPr="00000000">
        <w:rPr>
          <w:rFonts w:ascii="Arial" w:cs="Arial" w:eastAsia="Arial" w:hAnsi="Arial"/>
          <w:b w:val="1"/>
          <w:sz w:val="24"/>
          <w:szCs w:val="24"/>
          <w:rtl w:val="0"/>
        </w:rPr>
        <w:t xml:space="preserve">Riva del Garda Fierecongressi Spa</w:t>
      </w:r>
      <w:r w:rsidDel="00000000" w:rsidR="00000000" w:rsidRPr="00000000">
        <w:rPr>
          <w:rFonts w:ascii="Arial" w:cs="Arial" w:eastAsia="Arial" w:hAnsi="Arial"/>
          <w:sz w:val="24"/>
          <w:szCs w:val="24"/>
          <w:rtl w:val="0"/>
        </w:rPr>
        <w:t xml:space="preserve">, della controllata </w:t>
      </w:r>
      <w:r w:rsidDel="00000000" w:rsidR="00000000" w:rsidRPr="00000000">
        <w:rPr>
          <w:rFonts w:ascii="Arial" w:cs="Arial" w:eastAsia="Arial" w:hAnsi="Arial"/>
          <w:b w:val="1"/>
          <w:sz w:val="24"/>
          <w:szCs w:val="24"/>
          <w:rtl w:val="0"/>
        </w:rPr>
        <w:t xml:space="preserve">ON THE GO Srl</w:t>
      </w:r>
      <w:r w:rsidDel="00000000" w:rsidR="00000000" w:rsidRPr="00000000">
        <w:rPr>
          <w:rFonts w:ascii="Arial" w:cs="Arial" w:eastAsia="Arial" w:hAnsi="Arial"/>
          <w:sz w:val="24"/>
          <w:szCs w:val="24"/>
          <w:rtl w:val="0"/>
        </w:rPr>
        <w:t xml:space="preserve"> e della collegata </w:t>
      </w:r>
      <w:r w:rsidDel="00000000" w:rsidR="00000000" w:rsidRPr="00000000">
        <w:rPr>
          <w:rFonts w:ascii="Arial" w:cs="Arial" w:eastAsia="Arial" w:hAnsi="Arial"/>
          <w:b w:val="1"/>
          <w:sz w:val="24"/>
          <w:szCs w:val="24"/>
          <w:rtl w:val="0"/>
        </w:rPr>
        <w:t xml:space="preserve">Expo Riva International Srl</w:t>
      </w:r>
      <w:r w:rsidDel="00000000" w:rsidR="00000000" w:rsidRPr="00000000">
        <w:rPr>
          <w:rFonts w:ascii="Arial" w:cs="Arial" w:eastAsia="Arial" w:hAnsi="Arial"/>
          <w:sz w:val="24"/>
          <w:szCs w:val="24"/>
          <w:rtl w:val="0"/>
        </w:rPr>
        <w:t xml:space="preserve"> hanno approvato all’unanimità i Bilanci di esercizio chiusi al 31 dicembre 2024. I risultati confermano una crescita solida e costante: il “Gruppo” ha registrato un </w:t>
      </w:r>
      <w:r w:rsidDel="00000000" w:rsidR="00000000" w:rsidRPr="00000000">
        <w:rPr>
          <w:rFonts w:ascii="Arial" w:cs="Arial" w:eastAsia="Arial" w:hAnsi="Arial"/>
          <w:b w:val="1"/>
          <w:sz w:val="24"/>
          <w:szCs w:val="24"/>
          <w:rtl w:val="0"/>
        </w:rPr>
        <w:t xml:space="preserve">incremento del 14% nei ricavi</w:t>
      </w:r>
      <w:r w:rsidDel="00000000" w:rsidR="00000000" w:rsidRPr="00000000">
        <w:rPr>
          <w:rFonts w:ascii="Arial" w:cs="Arial" w:eastAsia="Arial" w:hAnsi="Arial"/>
          <w:sz w:val="24"/>
          <w:szCs w:val="24"/>
          <w:rtl w:val="0"/>
        </w:rPr>
        <w:t xml:space="preserve"> e un utile netto pari a </w:t>
      </w:r>
      <w:r w:rsidDel="00000000" w:rsidR="00000000" w:rsidRPr="00000000">
        <w:rPr>
          <w:rFonts w:ascii="Arial" w:cs="Arial" w:eastAsia="Arial" w:hAnsi="Arial"/>
          <w:b w:val="1"/>
          <w:sz w:val="24"/>
          <w:szCs w:val="24"/>
          <w:rtl w:val="0"/>
        </w:rPr>
        <w:t xml:space="preserve">1.173.000 euro</w:t>
      </w:r>
      <w:r w:rsidDel="00000000" w:rsidR="00000000" w:rsidRPr="00000000">
        <w:rPr>
          <w:rFonts w:ascii="Arial" w:cs="Arial" w:eastAsia="Arial" w:hAnsi="Arial"/>
          <w:sz w:val="24"/>
          <w:szCs w:val="24"/>
          <w:rtl w:val="0"/>
        </w:rPr>
        <w:t xml:space="preserve">, in </w:t>
      </w:r>
      <w:r w:rsidDel="00000000" w:rsidR="00000000" w:rsidRPr="00000000">
        <w:rPr>
          <w:rFonts w:ascii="Arial" w:cs="Arial" w:eastAsia="Arial" w:hAnsi="Arial"/>
          <w:b w:val="1"/>
          <w:sz w:val="24"/>
          <w:szCs w:val="24"/>
          <w:rtl w:val="0"/>
        </w:rPr>
        <w:t xml:space="preserve">aumento del 63%</w:t>
      </w:r>
      <w:r w:rsidDel="00000000" w:rsidR="00000000" w:rsidRPr="00000000">
        <w:rPr>
          <w:rFonts w:ascii="Arial" w:cs="Arial" w:eastAsia="Arial" w:hAnsi="Arial"/>
          <w:sz w:val="24"/>
          <w:szCs w:val="24"/>
          <w:rtl w:val="0"/>
        </w:rPr>
        <w:t xml:space="preserve"> rispetto all’anno precedente. Numeri che attestano la capacità attrattiva delle manifestazioni fieristiche e congressuali a livello internazionale.</w:t>
        <w:br w:type="textWrapping"/>
        <w:t xml:space="preserve">Nel corso del 2024 la Società ha portato avanti con determinazione l’attuazione delle linee strategiche, puntando sul rafforzamento degli eventi in essere, individuazione di nuove progettualità e integrazione sempre più marcata dei temi dell’innovazione e della sostenibilità. L’adozione di un nuovo modello organizzativo e gestionale ha consentito di rispondere con efficacia alle evoluzioni del mercato, con un percorso di aggiornamento delle competenze interne e di rafforzamento dell’organico. Parallelamente, Riva del Garda Fierecongressi ha proseguito il percorso di consolidamento societario, finalizzato a valorizzare le partecipate e a rafforzare le sinergie di gruppo. Lo sviluppo di nuove strutture ha inoltre permesso di sostenere la competitività, rispondendo alla crescente domanda da parte degli espositori.</w:t>
      </w:r>
    </w:p>
    <w:p w:rsidR="00000000" w:rsidDel="00000000" w:rsidP="00000000" w:rsidRDefault="00000000" w:rsidRPr="00000000" w14:paraId="0000000C">
      <w:pPr>
        <w:jc w:val="both"/>
        <w:rPr>
          <w:rFonts w:ascii="Arial" w:cs="Arial" w:eastAsia="Arial" w:hAnsi="Arial"/>
          <w:sz w:val="24"/>
          <w:szCs w:val="24"/>
        </w:rPr>
      </w:pPr>
      <w:bookmarkStart w:colFirst="0" w:colLast="0" w:name="_j28f6955it4k" w:id="3"/>
      <w:bookmarkEnd w:id="3"/>
      <w:r w:rsidDel="00000000" w:rsidR="00000000" w:rsidRPr="00000000">
        <w:rPr>
          <w:rFonts w:ascii="Arial" w:cs="Arial" w:eastAsia="Arial" w:hAnsi="Arial"/>
          <w:sz w:val="24"/>
          <w:szCs w:val="24"/>
          <w:rtl w:val="0"/>
        </w:rPr>
        <w:t xml:space="preserve">Il valore della </w:t>
      </w:r>
      <w:r w:rsidDel="00000000" w:rsidR="00000000" w:rsidRPr="00000000">
        <w:rPr>
          <w:rFonts w:ascii="Arial" w:cs="Arial" w:eastAsia="Arial" w:hAnsi="Arial"/>
          <w:b w:val="1"/>
          <w:sz w:val="24"/>
          <w:szCs w:val="24"/>
          <w:rtl w:val="0"/>
        </w:rPr>
        <w:t xml:space="preserve">produzione operativa complessivo</w:t>
      </w:r>
      <w:r w:rsidDel="00000000" w:rsidR="00000000" w:rsidRPr="00000000">
        <w:rPr>
          <w:rFonts w:ascii="Arial" w:cs="Arial" w:eastAsia="Arial" w:hAnsi="Arial"/>
          <w:sz w:val="24"/>
          <w:szCs w:val="24"/>
          <w:rtl w:val="0"/>
        </w:rPr>
        <w:t xml:space="preserve"> del “Gruppo” nel 2024 ha sfiorato i </w:t>
      </w:r>
      <w:r w:rsidDel="00000000" w:rsidR="00000000" w:rsidRPr="00000000">
        <w:rPr>
          <w:rFonts w:ascii="Arial" w:cs="Arial" w:eastAsia="Arial" w:hAnsi="Arial"/>
          <w:b w:val="1"/>
          <w:sz w:val="24"/>
          <w:szCs w:val="24"/>
          <w:rtl w:val="0"/>
        </w:rPr>
        <w:t xml:space="preserve">30 milioni di euro</w:t>
      </w:r>
      <w:r w:rsidDel="00000000" w:rsidR="00000000" w:rsidRPr="00000000">
        <w:rPr>
          <w:rFonts w:ascii="Arial" w:cs="Arial" w:eastAsia="Arial" w:hAnsi="Arial"/>
          <w:sz w:val="24"/>
          <w:szCs w:val="24"/>
          <w:rtl w:val="0"/>
        </w:rPr>
        <w:t xml:space="preserve">, segnando un </w:t>
      </w:r>
      <w:r w:rsidDel="00000000" w:rsidR="00000000" w:rsidRPr="00000000">
        <w:rPr>
          <w:rFonts w:ascii="Arial" w:cs="Arial" w:eastAsia="Arial" w:hAnsi="Arial"/>
          <w:b w:val="1"/>
          <w:sz w:val="24"/>
          <w:szCs w:val="24"/>
          <w:rtl w:val="0"/>
        </w:rPr>
        <w:t xml:space="preserve">aumento del 14% rispetto al 2023</w:t>
      </w:r>
      <w:r w:rsidDel="00000000" w:rsidR="00000000" w:rsidRPr="00000000">
        <w:rPr>
          <w:rFonts w:ascii="Arial" w:cs="Arial" w:eastAsia="Arial" w:hAnsi="Arial"/>
          <w:sz w:val="24"/>
          <w:szCs w:val="24"/>
          <w:rtl w:val="0"/>
        </w:rPr>
        <w:t xml:space="preserve">. Positivi anche gli indicatori di performance: </w:t>
      </w:r>
      <w:r w:rsidDel="00000000" w:rsidR="00000000" w:rsidRPr="00000000">
        <w:rPr>
          <w:rFonts w:ascii="Arial" w:cs="Arial" w:eastAsia="Arial" w:hAnsi="Arial"/>
          <w:b w:val="1"/>
          <w:sz w:val="24"/>
          <w:szCs w:val="24"/>
          <w:rtl w:val="0"/>
        </w:rPr>
        <w:t xml:space="preserve">l’EBITDA </w:t>
      </w:r>
      <w:r w:rsidDel="00000000" w:rsidR="00000000" w:rsidRPr="00000000">
        <w:rPr>
          <w:rFonts w:ascii="Arial" w:cs="Arial" w:eastAsia="Arial" w:hAnsi="Arial"/>
          <w:sz w:val="24"/>
          <w:szCs w:val="24"/>
          <w:rtl w:val="0"/>
        </w:rPr>
        <w:t xml:space="preserve">è di oltre </w:t>
      </w:r>
      <w:r w:rsidDel="00000000" w:rsidR="00000000" w:rsidRPr="00000000">
        <w:rPr>
          <w:rFonts w:ascii="Arial" w:cs="Arial" w:eastAsia="Arial" w:hAnsi="Arial"/>
          <w:b w:val="1"/>
          <w:sz w:val="24"/>
          <w:szCs w:val="24"/>
          <w:rtl w:val="0"/>
        </w:rPr>
        <w:t xml:space="preserve">2,5 milioni di euro in aumento di 26 punti %</w:t>
      </w:r>
      <w:r w:rsidDel="00000000" w:rsidR="00000000" w:rsidRPr="00000000">
        <w:rPr>
          <w:rFonts w:ascii="Arial" w:cs="Arial" w:eastAsia="Arial" w:hAnsi="Arial"/>
          <w:sz w:val="24"/>
          <w:szCs w:val="24"/>
          <w:rtl w:val="0"/>
        </w:rPr>
        <w:t xml:space="preserve">, mentre la posizione finanziaria netta risulta positiva e i</w:t>
      </w:r>
      <w:r w:rsidDel="00000000" w:rsidR="00000000" w:rsidRPr="00000000">
        <w:rPr>
          <w:rFonts w:ascii="Arial" w:cs="Arial" w:eastAsia="Arial" w:hAnsi="Arial"/>
          <w:b w:val="1"/>
          <w:sz w:val="24"/>
          <w:szCs w:val="24"/>
          <w:rtl w:val="0"/>
        </w:rPr>
        <w:t xml:space="preserve">n crescita del 4%</w:t>
      </w:r>
      <w:r w:rsidDel="00000000" w:rsidR="00000000" w:rsidRPr="00000000">
        <w:rPr>
          <w:rFonts w:ascii="Arial" w:cs="Arial" w:eastAsia="Arial" w:hAnsi="Arial"/>
          <w:sz w:val="24"/>
          <w:szCs w:val="24"/>
          <w:rtl w:val="0"/>
        </w:rPr>
        <w:t xml:space="preserve">.</w:t>
        <w:br w:type="textWrapping"/>
        <w:t xml:space="preserve">L’utile netto di “Gruppo”, pari a </w:t>
      </w:r>
      <w:r w:rsidDel="00000000" w:rsidR="00000000" w:rsidRPr="00000000">
        <w:rPr>
          <w:rFonts w:ascii="Arial" w:cs="Arial" w:eastAsia="Arial" w:hAnsi="Arial"/>
          <w:b w:val="1"/>
          <w:sz w:val="24"/>
          <w:szCs w:val="24"/>
          <w:rtl w:val="0"/>
        </w:rPr>
        <w:t xml:space="preserve">poco meno di 1,2 milioni di euro</w:t>
      </w:r>
      <w:r w:rsidDel="00000000" w:rsidR="00000000" w:rsidRPr="00000000">
        <w:rPr>
          <w:rFonts w:ascii="Arial" w:cs="Arial" w:eastAsia="Arial" w:hAnsi="Arial"/>
          <w:sz w:val="24"/>
          <w:szCs w:val="24"/>
          <w:rtl w:val="0"/>
        </w:rPr>
        <w:t xml:space="preserve">, evidenzia un </w:t>
      </w:r>
      <w:r w:rsidDel="00000000" w:rsidR="00000000" w:rsidRPr="00000000">
        <w:rPr>
          <w:rFonts w:ascii="Arial" w:cs="Arial" w:eastAsia="Arial" w:hAnsi="Arial"/>
          <w:b w:val="1"/>
          <w:sz w:val="24"/>
          <w:szCs w:val="24"/>
          <w:rtl w:val="0"/>
        </w:rPr>
        <w:t xml:space="preserve">incremento del 63% rispetto all’anno precedente</w:t>
      </w:r>
      <w:r w:rsidDel="00000000" w:rsidR="00000000" w:rsidRPr="00000000">
        <w:rPr>
          <w:rFonts w:ascii="Arial" w:cs="Arial" w:eastAsia="Arial" w:hAnsi="Arial"/>
          <w:sz w:val="24"/>
          <w:szCs w:val="24"/>
          <w:rtl w:val="0"/>
        </w:rPr>
        <w:t xml:space="preserve">. Rilevante anche la performance della capogruppo Riva del Garda Fierecongressi Spa, che nel 2024 ha realizzato </w:t>
      </w:r>
      <w:r w:rsidDel="00000000" w:rsidR="00000000" w:rsidRPr="00000000">
        <w:rPr>
          <w:rFonts w:ascii="Arial" w:cs="Arial" w:eastAsia="Arial" w:hAnsi="Arial"/>
          <w:b w:val="1"/>
          <w:sz w:val="24"/>
          <w:szCs w:val="24"/>
          <w:rtl w:val="0"/>
        </w:rPr>
        <w:t xml:space="preserve">ricavi per 20,2 milioni di euro</w:t>
      </w:r>
      <w:r w:rsidDel="00000000" w:rsidR="00000000" w:rsidRPr="00000000">
        <w:rPr>
          <w:rFonts w:ascii="Arial" w:cs="Arial" w:eastAsia="Arial" w:hAnsi="Arial"/>
          <w:sz w:val="24"/>
          <w:szCs w:val="24"/>
          <w:rtl w:val="0"/>
        </w:rPr>
        <w:t xml:space="preserve">, con una </w:t>
      </w:r>
      <w:r w:rsidDel="00000000" w:rsidR="00000000" w:rsidRPr="00000000">
        <w:rPr>
          <w:rFonts w:ascii="Arial" w:cs="Arial" w:eastAsia="Arial" w:hAnsi="Arial"/>
          <w:b w:val="1"/>
          <w:sz w:val="24"/>
          <w:szCs w:val="24"/>
          <w:rtl w:val="0"/>
        </w:rPr>
        <w:t xml:space="preserve">crescita del 10% rispetto al 2023</w:t>
      </w:r>
      <w:r w:rsidDel="00000000" w:rsidR="00000000" w:rsidRPr="00000000">
        <w:rPr>
          <w:rFonts w:ascii="Arial" w:cs="Arial" w:eastAsia="Arial" w:hAnsi="Arial"/>
          <w:sz w:val="24"/>
          <w:szCs w:val="24"/>
          <w:rtl w:val="0"/>
        </w:rPr>
        <w:t xml:space="preserve">.</w:t>
        <w:br w:type="textWrapping"/>
        <w:t xml:space="preserve">L’</w:t>
      </w:r>
      <w:r w:rsidDel="00000000" w:rsidR="00000000" w:rsidRPr="00000000">
        <w:rPr>
          <w:rFonts w:ascii="Arial" w:cs="Arial" w:eastAsia="Arial" w:hAnsi="Arial"/>
          <w:sz w:val="24"/>
          <w:szCs w:val="24"/>
          <w:rtl w:val="0"/>
        </w:rPr>
        <w:t xml:space="preserve">EBITDA prodotto dalla Società nel 2024 si </w:t>
      </w:r>
      <w:r w:rsidDel="00000000" w:rsidR="00000000" w:rsidRPr="00000000">
        <w:rPr>
          <w:rFonts w:ascii="Arial" w:cs="Arial" w:eastAsia="Arial" w:hAnsi="Arial"/>
          <w:b w:val="1"/>
          <w:sz w:val="24"/>
          <w:szCs w:val="24"/>
          <w:rtl w:val="0"/>
        </w:rPr>
        <w:t xml:space="preserve">incrementa del 50%</w:t>
      </w:r>
      <w:r w:rsidDel="00000000" w:rsidR="00000000" w:rsidRPr="00000000">
        <w:rPr>
          <w:rFonts w:ascii="Arial" w:cs="Arial" w:eastAsia="Arial" w:hAnsi="Arial"/>
          <w:sz w:val="24"/>
          <w:szCs w:val="24"/>
          <w:rtl w:val="0"/>
        </w:rPr>
        <w:t xml:space="preserve"> rispetto a quello dell’esercizio precedente, mentre l’</w:t>
      </w:r>
      <w:r w:rsidDel="00000000" w:rsidR="00000000" w:rsidRPr="00000000">
        <w:rPr>
          <w:rFonts w:ascii="Arial" w:cs="Arial" w:eastAsia="Arial" w:hAnsi="Arial"/>
          <w:b w:val="1"/>
          <w:sz w:val="24"/>
          <w:szCs w:val="24"/>
          <w:rtl w:val="0"/>
        </w:rPr>
        <w:t xml:space="preserve">utile netto sale a 458 mila euro</w:t>
      </w:r>
      <w:r w:rsidDel="00000000" w:rsidR="00000000" w:rsidRPr="00000000">
        <w:rPr>
          <w:rFonts w:ascii="Arial" w:cs="Arial" w:eastAsia="Arial" w:hAnsi="Arial"/>
          <w:sz w:val="24"/>
          <w:szCs w:val="24"/>
          <w:rtl w:val="0"/>
        </w:rPr>
        <w:t xml:space="preserve"> (+44% l'aumento rispetto al 2023).</w:t>
      </w:r>
      <w:r w:rsidDel="00000000" w:rsidR="00000000" w:rsidRPr="00000000">
        <w:rPr>
          <w:rtl w:val="0"/>
        </w:rPr>
      </w:r>
    </w:p>
    <w:p w:rsidR="00000000" w:rsidDel="00000000" w:rsidP="00000000" w:rsidRDefault="00000000" w:rsidRPr="00000000" w14:paraId="0000000D">
      <w:pPr>
        <w:pageBreakBefore w:val="0"/>
        <w:rPr>
          <w:rFonts w:ascii="Arial" w:cs="Arial" w:eastAsia="Arial" w:hAnsi="Arial"/>
          <w:sz w:val="24"/>
          <w:szCs w:val="24"/>
        </w:rPr>
      </w:pPr>
      <w:bookmarkStart w:colFirst="0" w:colLast="0" w:name="_nmtb2z2ipm71" w:id="4"/>
      <w:bookmarkEnd w:id="4"/>
      <w:r w:rsidDel="00000000" w:rsidR="00000000" w:rsidRPr="00000000">
        <w:rPr>
          <w:rtl w:val="0"/>
        </w:rPr>
      </w:r>
    </w:p>
    <w:p w:rsidR="00000000" w:rsidDel="00000000" w:rsidP="00000000" w:rsidRDefault="00000000" w:rsidRPr="00000000" w14:paraId="0000000E">
      <w:pPr>
        <w:pageBreakBefore w:val="0"/>
        <w:rPr>
          <w:rFonts w:ascii="Arial" w:cs="Arial" w:eastAsia="Arial" w:hAnsi="Arial"/>
          <w:sz w:val="24"/>
          <w:szCs w:val="24"/>
        </w:rPr>
      </w:pPr>
      <w:bookmarkStart w:colFirst="0" w:colLast="0" w:name="_el481xzfn93k" w:id="5"/>
      <w:bookmarkEnd w:id="5"/>
      <w:r w:rsidDel="00000000" w:rsidR="00000000" w:rsidRPr="00000000">
        <w:rPr>
          <w:rFonts w:ascii="Arial" w:cs="Arial" w:eastAsia="Arial" w:hAnsi="Arial"/>
          <w:sz w:val="24"/>
          <w:szCs w:val="24"/>
          <w:rtl w:val="0"/>
        </w:rPr>
        <w:t xml:space="preserve">I dati principali dell’attività fieristica 2024 di Riva del Garda Fierecongressi:</w:t>
      </w:r>
    </w:p>
    <w:p w:rsidR="00000000" w:rsidDel="00000000" w:rsidP="00000000" w:rsidRDefault="00000000" w:rsidRPr="00000000" w14:paraId="0000000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manifestazioni fieristiche di cui 3 internazionali</w:t>
      </w:r>
    </w:p>
    <w:p w:rsidR="00000000" w:rsidDel="00000000" w:rsidP="00000000" w:rsidRDefault="00000000" w:rsidRPr="00000000" w14:paraId="0000001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 delegati che rappresentano oltre 60 Paesi</w:t>
      </w:r>
    </w:p>
    <w:p w:rsidR="00000000" w:rsidDel="00000000" w:rsidP="00000000" w:rsidRDefault="00000000" w:rsidRPr="00000000" w14:paraId="0000001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131.500</w:t>
      </w:r>
      <w:r w:rsidDel="00000000" w:rsidR="00000000" w:rsidRPr="00000000">
        <w:rPr>
          <w:rFonts w:ascii="Arial" w:cs="Arial" w:eastAsia="Arial" w:hAnsi="Arial"/>
          <w:sz w:val="24"/>
          <w:szCs w:val="24"/>
          <w:rtl w:val="0"/>
        </w:rPr>
        <w:t xml:space="preserve"> presenze fieristiche</w:t>
      </w:r>
    </w:p>
    <w:p w:rsidR="00000000" w:rsidDel="00000000" w:rsidP="00000000" w:rsidRDefault="00000000" w:rsidRPr="00000000" w14:paraId="00000012">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numeri principali dell’attività congressuale 2024 di Riva del Garda Fierecongressi:</w:t>
      </w:r>
    </w:p>
    <w:p w:rsidR="00000000" w:rsidDel="00000000" w:rsidP="00000000" w:rsidRDefault="00000000" w:rsidRPr="00000000" w14:paraId="0000001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150 eventi congressuali (91 a Riva del Garda, tra Centro Congressi e Spiaggia Olivi, e 59 a Trento (ITAS Forum) di cui 18 internazionali</w:t>
      </w:r>
    </w:p>
    <w:p w:rsidR="00000000" w:rsidDel="00000000" w:rsidP="00000000" w:rsidRDefault="00000000" w:rsidRPr="00000000" w14:paraId="0000001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106.100</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presenze congressuali</w:t>
      </w:r>
    </w:p>
    <w:p w:rsidR="00000000" w:rsidDel="00000000" w:rsidP="00000000" w:rsidRDefault="00000000" w:rsidRPr="00000000" w14:paraId="00000016">
      <w:pP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questi anni abbiamo lavorato intensamente per sviluppare nuovi format fieristici e congressuali, rafforzare la rete commerciale internazionale e avviare un percorso di riorganizzazione aziendale capace di rispondere alle nuove sfide del mercato - ha dichiarato la Direttrice Generale di Riva del Garda Fierecongressi, </w:t>
      </w:r>
      <w:r w:rsidDel="00000000" w:rsidR="00000000" w:rsidRPr="00000000">
        <w:rPr>
          <w:rFonts w:ascii="Arial" w:cs="Arial" w:eastAsia="Arial" w:hAnsi="Arial"/>
          <w:b w:val="1"/>
          <w:sz w:val="24"/>
          <w:szCs w:val="24"/>
          <w:rtl w:val="0"/>
        </w:rPr>
        <w:t xml:space="preserve">Alessandra Albarelli</w:t>
      </w:r>
      <w:r w:rsidDel="00000000" w:rsidR="00000000" w:rsidRPr="00000000">
        <w:rPr>
          <w:rFonts w:ascii="Arial" w:cs="Arial" w:eastAsia="Arial" w:hAnsi="Arial"/>
          <w:sz w:val="24"/>
          <w:szCs w:val="24"/>
          <w:rtl w:val="0"/>
        </w:rPr>
        <w:t xml:space="preserve">. - Il Bilancio di Sostenibilità 2023-2024 restituisce l’immagine di un cambiamento concreto, che passa attraverso l’acquisizione di nuove competenze, l’ingresso di professionalità orientate all’internazionalizzazione e un importante investimento nella formazione. Tutto questo rientra in una governance sempre più consapevole, sostenibile e attenta al valore”.</w:t>
      </w:r>
    </w:p>
    <w:p w:rsidR="00000000" w:rsidDel="00000000" w:rsidP="00000000" w:rsidRDefault="00000000" w:rsidRPr="00000000" w14:paraId="00000017">
      <w:pP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All’Assemblea hanno partecipato: Garda Trentino Sviluppo S.p.A. portatrice del 44,78% del capitale sociale e rappresentata dal Presidente del Consiglio di Amministrazione Enzo Bassetti; Lido di Riva del Garda S.r.l. - Società di partecipazioni portatrice del 33,34% del capitale sociale e rappresentata dal Presidente del Consiglio di Amministrazione, Delio Picciani; Cassa Rurale Alto Garda Rovereto BCC – Socio portatore del 6,25% del capitale sociale rappresentato dal Vice Presidente Vicario Avv.Matteo Grazioli; Fondazione Cassa di Risparmio di Trento e Rovereto – Socio portatore del 6,25% del capitale sociale rappresentato dal Responsabile dell’Area Finanza dott.Fabio Rovro; Trentino Trasporti SpA – portatrice del 4,89% del capitale sociale rappresentata dal Presidente del Consiglio di Amministrazione Avv. Diego Salvatore; Garda Dolomiti S.p.A.-Azienda per il Turismo portatrice del 4,49% del capitale sociale e rappresentata dal Presidente del Consiglio di Amministrazione Silvio Rigatti</w:t>
      </w:r>
      <w:r w:rsidDel="00000000" w:rsidR="00000000" w:rsidRPr="00000000">
        <w:rPr>
          <w:rFonts w:ascii="Arial" w:cs="Arial" w:eastAsia="Arial" w:hAnsi="Arial"/>
          <w:sz w:val="24"/>
          <w:szCs w:val="24"/>
          <w:rtl w:val="0"/>
        </w:rPr>
        <w:t xml:space="preserve">, presente anche il Sindaco del Comune di Riva del Garda, Alessio Zanoni.</w:t>
      </w:r>
      <w:r w:rsidDel="00000000" w:rsidR="00000000" w:rsidRPr="00000000">
        <w:rPr>
          <w:rtl w:val="0"/>
        </w:rPr>
      </w:r>
    </w:p>
    <w:p w:rsidR="00000000" w:rsidDel="00000000" w:rsidP="00000000" w:rsidRDefault="00000000" w:rsidRPr="00000000" w14:paraId="00000018">
      <w:pPr>
        <w:spacing w:after="240" w:before="24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La Società ha rivolto un sentito ringraziamento ai componenti uscenti del Consiglio di Amministrazione e del Collegio Sindacale per il lavoro svolto nel triennio precedente, accogliendo con fiducia i nuovi membri che accompagneranno Riva del Garda Fierecongressi nel prossimo triennio di attività.</w:t>
      </w:r>
    </w:p>
    <w:p w:rsidR="00000000" w:rsidDel="00000000" w:rsidP="00000000" w:rsidRDefault="00000000" w:rsidRPr="00000000" w14:paraId="00000019">
      <w:pPr>
        <w:pageBreakBefore w:val="0"/>
        <w:rPr>
          <w:sz w:val="24"/>
          <w:szCs w:val="24"/>
        </w:rPr>
      </w:pPr>
      <w:bookmarkStart w:colFirst="0" w:colLast="0" w:name="_k9w7jphkvdc5" w:id="6"/>
      <w:bookmarkEnd w:id="6"/>
      <w:r w:rsidDel="00000000" w:rsidR="00000000" w:rsidRPr="00000000">
        <w:rPr>
          <w:rtl w:val="0"/>
        </w:rPr>
      </w:r>
    </w:p>
    <w:p w:rsidR="00000000" w:rsidDel="00000000" w:rsidP="00000000" w:rsidRDefault="00000000" w:rsidRPr="00000000" w14:paraId="0000001A">
      <w:pPr>
        <w:pageBreakBefore w:val="0"/>
        <w:rPr>
          <w:sz w:val="24"/>
          <w:szCs w:val="24"/>
        </w:rPr>
      </w:pPr>
      <w:bookmarkStart w:colFirst="0" w:colLast="0" w:name="_bfzl0kwdyv41" w:id="7"/>
      <w:bookmarkEnd w:id="7"/>
      <w:r w:rsidDel="00000000" w:rsidR="00000000" w:rsidRPr="00000000">
        <w:rPr>
          <w:rFonts w:ascii="Arial" w:cs="Arial" w:eastAsia="Arial" w:hAnsi="Arial"/>
          <w:sz w:val="24"/>
          <w:szCs w:val="24"/>
          <w:highlight w:val="white"/>
          <w:rtl w:val="0"/>
        </w:rPr>
        <w:t xml:space="preserve">Riva del Garda, 19 giugno 2025</w:t>
      </w:r>
      <w:r w:rsidDel="00000000" w:rsidR="00000000" w:rsidRPr="00000000">
        <w:rPr>
          <w:rtl w:val="0"/>
        </w:rPr>
      </w:r>
    </w:p>
    <w:p w:rsidR="00000000" w:rsidDel="00000000" w:rsidP="00000000" w:rsidRDefault="00000000" w:rsidRPr="00000000" w14:paraId="0000001B">
      <w:pPr>
        <w:pageBreakBefore w:val="0"/>
        <w:jc w:val="center"/>
        <w:rPr/>
      </w:pP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1.jpg"/>
          <a:graphic>
            <a:graphicData uri="http://schemas.openxmlformats.org/drawingml/2006/picture">
              <pic:pic>
                <pic:nvPicPr>
                  <pic:cNvPr id="0" name="image1.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2.png"/>
          <a:graphic>
            <a:graphicData uri="http://schemas.openxmlformats.org/drawingml/2006/picture">
              <pic:pic>
                <pic:nvPicPr>
                  <pic:cNvPr id="0" name="image2.png"/>
                  <pic:cNvPicPr preferRelativeResize="0"/>
                </pic:nvPicPr>
                <pic:blipFill>
                  <a:blip r:embed="rId1"/>
                  <a:srcRect b="8389"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